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2471A4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566C5A" w:rsidRDefault="00945157" w:rsidP="00566C5A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</w:rPr>
      </w:pP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AD3431" w:rsidRDefault="005D323C" w:rsidP="004609A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Գյումրի 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համայնքի </w:t>
            </w:r>
            <w:r w:rsidR="0067645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թվով 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2</w:t>
            </w:r>
            <w:r w:rsidR="004609A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9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փողոցների հիմնանորոգում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F51" w:rsidRP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Ծրագրով նախատեսվում է Գյումրի քաղաքում հիմնանորոգել 2</w:t>
            </w:r>
            <w:r w:rsidR="004609A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9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փողոցներ: 2</w:t>
            </w:r>
            <w:r w:rsidR="004609A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9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հանդիսանում են երկրորդական փողոցներ և չեն գտնվում  Գյումրու պատմական կենտրոնում: </w:t>
            </w:r>
          </w:p>
          <w:p w:rsidR="00651F51" w:rsidRP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փողոցների ընդհանուր թիվը կազմում է 250, որոնց ընդհանուր երկարությոնը 181 կմ է: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Բարեկարգված (որևէ ծածկույթ ունեցող)-156.2կմ,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որից՝ ասֆալտ-բետոնե 106.2կմ խճից, 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կոպիճից՝ 50կմ, հողային կամ ծածկույթ չունեցող՝ 29կմ։                                                               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Բոլոր անցումների, նրբանցքների, հրապարակների ընդհանուր մակերեսը 2.9մլն մ2 է, որից բարեկարգված՝ 1.3մլն մ2 :                     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Հիմնանորոգվելու են փողոցները՝ իրենց մայթերով, որոնք ներթաղամասային փողոցներ են։ Փողոցների հարող հատվածներում  վերանորոգման աշխատանքներ կատարվել են 40-ից ավել տարի առաջ: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Ընդհանուր ծավալը՝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7753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գծմ ընդհանուր երկարությամբ, երթևեկելի մաս`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72167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մ2 և մայթեր`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40685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մ2:</w:t>
            </w:r>
          </w:p>
          <w:p w:rsid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2021թ-ի սուբվենցիոն ծրագրով իրականացվել է 8 երկրորդային փողոցի և 1 հրապարակի հիմնանորոգում, որոնք շինարարական աշխատանքները ավարտված են և կազմում են 2.76 կմ:</w:t>
            </w:r>
          </w:p>
          <w:p w:rsidR="003128F4" w:rsidRPr="00651F51" w:rsidRDefault="00160E3E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2022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թվականին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սուբվենցիոն ծրագրով իրականացվել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է </w:t>
            </w: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22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երկրորդային փողոցների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հիմնանորոգում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 կազմու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լու են մոտ 8,185</w:t>
            </w: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.0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մ:</w:t>
            </w:r>
          </w:p>
        </w:tc>
      </w:tr>
      <w:tr w:rsidR="00945157" w:rsidRPr="00AD3431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F51" w:rsidRPr="00651F51" w:rsidRDefault="00651F51" w:rsidP="00651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beforeAutospacing="1" w:after="0" w:afterAutospacing="1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2</w:t>
            </w:r>
            <w:r w:rsidR="004609A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9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փողոցներ կասֆալտապատվեն, կազմելով ընդհանուր՝ </w:t>
            </w:r>
            <w:r w:rsidR="00FA0A7F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7753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գծմ երկարությամբ, </w:t>
            </w:r>
            <w:r w:rsidR="00FA0A7F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72167</w:t>
            </w:r>
            <w:r w:rsidR="00FA0A7F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մ2 մակերեսով երթևեկելի ճանապարհներ և </w:t>
            </w:r>
            <w:r w:rsidR="00FA0A7F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40685</w:t>
            </w:r>
            <w:r w:rsidR="00FA0A7F"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մ2 մակերեսով հիմնանորոգված մայթեր: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beforeAutospacing="1" w:after="0" w:afterAutospacing="1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բնակչության համար կստեղծվի հարմարավետ տեղաշարժվելու հնարավորություն: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after="0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Բնակչության տեղաշարժը ինչպես նաև տրանսպորտային միջոցների տեղաշարժը կլինի անվտանգ։</w:t>
            </w:r>
          </w:p>
          <w:p w:rsidR="00651F51" w:rsidRPr="00651F51" w:rsidRDefault="00651F51" w:rsidP="00651F51">
            <w:pPr>
              <w:spacing w:before="100" w:beforeAutospacing="1"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Ընտրված հատվածները հանդիսանում են կենտրոնական փողոցներն իրար միացնող հատվածներ, ինչպես նաև դեպի ենթակառուցվածքներ տանող ճանապարհներ, որոնցով ամեն օր երթևեկում են հազարավոր քաղաքացիներ և մասնավորապես երեխաներ: Գյումրի համայնքի 2022-2026թթ. հնգամյա զարգացման ծրագրում  բնակկոմունալ և շրջակա միջավայրի պահպանության ոլորտի կապիտալ ծրագրերում ներառված են փողոցների բարեկարգում, որը կազմվել է՝ ելնելով մի շարք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առաջնահերթություններից, մասնավորապես՝ </w:t>
            </w:r>
          </w:p>
          <w:p w:rsidR="00651F51" w:rsidRPr="00651F51" w:rsidRDefault="00651F51" w:rsidP="00651F51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կենտրոնական փողոցներն իրար միացնող հատվածներ </w:t>
            </w:r>
          </w:p>
          <w:p w:rsidR="00FA0A7F" w:rsidRDefault="00651F51" w:rsidP="00FA0A7F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դեպի մանկապարտեզ տանող ճանապարհներ</w:t>
            </w:r>
          </w:p>
          <w:p w:rsidR="003F0270" w:rsidRPr="00651F51" w:rsidRDefault="00FA0A7F" w:rsidP="00FA0A7F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դ</w:t>
            </w:r>
            <w:r w:rsidR="00651F51"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եպի դպրոց տանող ճանապարհ</w:t>
            </w:r>
          </w:p>
        </w:tc>
      </w:tr>
      <w:tr w:rsidR="00945157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FA0A7F" w:rsidRPr="00FA0A7F" w:rsidRDefault="00FA0A7F" w:rsidP="00FA0A7F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Հետևել կատարվող շին աշխատանքների որակին և ծրագրի վերջնական արդյունքին: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A7F" w:rsidRPr="00FA0A7F" w:rsidRDefault="00FA0A7F" w:rsidP="00FA0A7F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Ծրագրով նախատեսված ծախսերը կապիտալ բնույթի են և իրականացման արդյունքում Գյումրի համայնքին սեփականության իրավունքով պատկանող հիմնական միջոցների արժեքը կավելանա 2,154,000,000 (երկու միլիարդ մեկ հարյուր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հիսունչորս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միլիոն)  դրամով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6748DC" w:rsidRDefault="00945157" w:rsidP="00FE7117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</w:p>
        </w:tc>
      </w:tr>
      <w:tr w:rsidR="006748DC" w:rsidRPr="002471A4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514FA1" w:rsidRDefault="00514FA1" w:rsidP="006748D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 w:rsidRPr="00514FA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են՝ Գյումրի քաղաքի  բնակիչները, Գյումրի ժամանող մեքենաների վարորդներն ու ուղևորները, ինչպես նաև զբոսաշրջիկները և քաղաք այցելող հյուրերը:                                                                 Փողոցները ներթաղամասային են, հարակից՝ դպրոցներին և մանկապարտեզներին: Բնակիչները հնարավորություն կունենան երթևեկել անվտանգ փողոցներով, իսկ հետիոտները՝ մաքուր և բարեկարգ մայթերով: Բարեկարգ փողոցների արդյունքում օդի աղտոտվածությունը ևս կնվազի, որն էլ անմիջականորեն դրական ազդեցություն կունենա բնակիչների առողջության վրա:</w:t>
            </w:r>
          </w:p>
        </w:tc>
      </w:tr>
      <w:tr w:rsidR="006748DC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2471A4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2471A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2471A4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 xml:space="preserve">Ծրագրի իրականացման 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 xml:space="preserve">Ծրագրի իրականացման 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Համայնքի ծրագրի իրականացման տարվա միջնաժամակետ ծախսերի ծրագրով նախատեսված բյուջետային մուտքերի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նախագծանախահաշվային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8CF" w:rsidRPr="00C31CB0" w:rsidRDefault="00E838CF" w:rsidP="00E838C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2,</w:t>
            </w:r>
            <w:r w:rsidR="009102B6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500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,000,000 (երկու միլիարդ </w:t>
            </w:r>
            <w:r w:rsidR="009102B6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հինգ 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հարյուր </w:t>
            </w:r>
            <w:r w:rsidR="009102B6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հազար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դրամ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- </w:t>
            </w:r>
            <w:r w:rsidRPr="00E838C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100%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 </w:t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</w:p>
          <w:p w:rsidR="003D0464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</w:rPr>
            </w:pPr>
          </w:p>
          <w:p w:rsidR="003D0464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</w:rPr>
            </w:pPr>
          </w:p>
          <w:p w:rsidR="00E838CF" w:rsidRPr="005842D2" w:rsidRDefault="00832209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</w:rPr>
              <w:t>37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,</w:t>
            </w:r>
            <w:r w:rsidR="004F560A">
              <w:rPr>
                <w:rFonts w:ascii="GHEA Grapalat" w:eastAsia="Times New Roman" w:hAnsi="GHEA Grapalat"/>
                <w:iCs/>
                <w:sz w:val="21"/>
                <w:szCs w:val="21"/>
              </w:rPr>
              <w:t>362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,000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(</w:t>
            </w:r>
            <w:r w:rsidR="004F560A" w:rsidRPr="004F56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երեսունյոթ միլիոն երեք հարյուր վաթսուներկու հազար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)</w:t>
            </w:r>
            <w:r w:rsidR="00E838CF" w:rsidRPr="00D70028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E838CF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E838CF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3D0464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</w:rPr>
            </w:pPr>
          </w:p>
          <w:p w:rsidR="003D0464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</w:rPr>
            </w:pPr>
          </w:p>
          <w:p w:rsidR="003D0464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</w:rPr>
            </w:pPr>
          </w:p>
          <w:p w:rsidR="00E838CF" w:rsidRPr="007C170A" w:rsidRDefault="00257A63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sz w:val="21"/>
                <w:szCs w:val="21"/>
              </w:rPr>
              <w:t>40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sz w:val="21"/>
                <w:szCs w:val="21"/>
              </w:rPr>
              <w:t>000,</w:t>
            </w:r>
            <w:r w:rsidR="00E838CF" w:rsidRP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(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</w:rPr>
              <w:t>քառասուն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միլոն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)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2D7568" w:rsidRPr="006748DC" w:rsidRDefault="00BD0784" w:rsidP="00E838C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sz w:val="21"/>
                <w:szCs w:val="21"/>
              </w:rPr>
              <w:t>15</w:t>
            </w:r>
            <w:r w:rsidR="00E838CF" w:rsidRPr="00C31CB0">
              <w:rPr>
                <w:rFonts w:ascii="GHEA Grapalat" w:eastAsia="Times New Roman" w:hAnsi="GHEA Grapalat" w:cs="Courier New"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sz w:val="21"/>
                <w:szCs w:val="21"/>
              </w:rPr>
              <w:t>000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,</w:t>
            </w:r>
            <w:r w:rsidR="008926D4" w:rsidRPr="008926D4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000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(տասն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</w:rPr>
              <w:t>հինգ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միլիոն) 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2471A4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B912B4" w:rsidP="00431EF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912B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1,</w:t>
            </w:r>
            <w:r w:rsidR="00431EF4">
              <w:rPr>
                <w:rFonts w:ascii="GHEA Grapalat" w:eastAsia="Times New Roman" w:hAnsi="GHEA Grapalat"/>
                <w:i/>
                <w:sz w:val="21"/>
                <w:szCs w:val="21"/>
              </w:rPr>
              <w:t>375,0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Pr="00B912B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միլիարդ, </w:t>
            </w:r>
            <w:r w:rsidR="00431EF4">
              <w:rPr>
                <w:rFonts w:ascii="GHEA Grapalat" w:eastAsia="Times New Roman" w:hAnsi="GHEA Grapalat"/>
                <w:i/>
                <w:sz w:val="21"/>
                <w:szCs w:val="21"/>
              </w:rPr>
              <w:t>երեք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431EF4">
              <w:rPr>
                <w:rFonts w:ascii="GHEA Grapalat" w:eastAsia="Times New Roman" w:hAnsi="GHEA Grapalat"/>
                <w:i/>
                <w:sz w:val="21"/>
                <w:szCs w:val="21"/>
              </w:rPr>
              <w:t>յոթանասունհինգ</w:t>
            </w:r>
            <w:r w:rsidR="00D15686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հազար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դրամ )   (</w:t>
            </w:r>
            <w:r w:rsidR="008926D4" w:rsidRPr="008926D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8926D4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2,154,000,000 (երկու միլիարդ մեկ հարյուր </w:t>
            </w:r>
            <w:r w:rsidR="008926D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հիսունչորս</w:t>
            </w:r>
            <w:r w:rsidR="008926D4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միլիոն</w:t>
            </w:r>
            <w:r w:rsidR="008926D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դրամ</w:t>
            </w:r>
            <w:r w:rsidR="008926D4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)</w:t>
            </w:r>
            <w:r w:rsidR="008926D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566C5A" w:rsidP="00566C5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D15686" w:rsidRPr="00C53D11" w:rsidRDefault="00D15686" w:rsidP="00D15686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D15686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462974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D15686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D15686" w:rsidRPr="00237B68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61DF8"/>
    <w:multiLevelType w:val="hybridMultilevel"/>
    <w:tmpl w:val="D9E273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E3C69"/>
    <w:rsid w:val="00111C6A"/>
    <w:rsid w:val="00141CE3"/>
    <w:rsid w:val="00160E3E"/>
    <w:rsid w:val="0016400E"/>
    <w:rsid w:val="00182A3E"/>
    <w:rsid w:val="001B5FB8"/>
    <w:rsid w:val="001B7009"/>
    <w:rsid w:val="001F7FAC"/>
    <w:rsid w:val="002471A4"/>
    <w:rsid w:val="00257A63"/>
    <w:rsid w:val="00274066"/>
    <w:rsid w:val="00286685"/>
    <w:rsid w:val="002D1FA9"/>
    <w:rsid w:val="002D7568"/>
    <w:rsid w:val="003128F4"/>
    <w:rsid w:val="00376D19"/>
    <w:rsid w:val="003D0464"/>
    <w:rsid w:val="003D2446"/>
    <w:rsid w:val="003E6C37"/>
    <w:rsid w:val="003F0270"/>
    <w:rsid w:val="00422D2E"/>
    <w:rsid w:val="0042472C"/>
    <w:rsid w:val="00431EF4"/>
    <w:rsid w:val="004609A7"/>
    <w:rsid w:val="00487535"/>
    <w:rsid w:val="004E3327"/>
    <w:rsid w:val="004F5397"/>
    <w:rsid w:val="004F560A"/>
    <w:rsid w:val="00514FA1"/>
    <w:rsid w:val="00544592"/>
    <w:rsid w:val="00566C5A"/>
    <w:rsid w:val="00596DEC"/>
    <w:rsid w:val="005D323C"/>
    <w:rsid w:val="00623205"/>
    <w:rsid w:val="00624F46"/>
    <w:rsid w:val="006320DE"/>
    <w:rsid w:val="00651F51"/>
    <w:rsid w:val="00673683"/>
    <w:rsid w:val="006748DC"/>
    <w:rsid w:val="0067645A"/>
    <w:rsid w:val="006C40DB"/>
    <w:rsid w:val="006D718F"/>
    <w:rsid w:val="006E375C"/>
    <w:rsid w:val="00757E7F"/>
    <w:rsid w:val="00767BF4"/>
    <w:rsid w:val="00773118"/>
    <w:rsid w:val="00774F46"/>
    <w:rsid w:val="007E134A"/>
    <w:rsid w:val="008168CF"/>
    <w:rsid w:val="00832209"/>
    <w:rsid w:val="00855230"/>
    <w:rsid w:val="008926D4"/>
    <w:rsid w:val="008D112F"/>
    <w:rsid w:val="0090405C"/>
    <w:rsid w:val="009102B6"/>
    <w:rsid w:val="0093674C"/>
    <w:rsid w:val="00945157"/>
    <w:rsid w:val="00946EA2"/>
    <w:rsid w:val="0097233F"/>
    <w:rsid w:val="00985675"/>
    <w:rsid w:val="00A01EB4"/>
    <w:rsid w:val="00A1600A"/>
    <w:rsid w:val="00A341DD"/>
    <w:rsid w:val="00A37DF3"/>
    <w:rsid w:val="00A92C99"/>
    <w:rsid w:val="00AD3431"/>
    <w:rsid w:val="00B912B4"/>
    <w:rsid w:val="00BD0784"/>
    <w:rsid w:val="00C53D11"/>
    <w:rsid w:val="00C96385"/>
    <w:rsid w:val="00CE4B84"/>
    <w:rsid w:val="00D15686"/>
    <w:rsid w:val="00D32124"/>
    <w:rsid w:val="00DA55FE"/>
    <w:rsid w:val="00DC35D4"/>
    <w:rsid w:val="00DD43E3"/>
    <w:rsid w:val="00DF13CD"/>
    <w:rsid w:val="00DF62EE"/>
    <w:rsid w:val="00E838CF"/>
    <w:rsid w:val="00E9623C"/>
    <w:rsid w:val="00EA5EA7"/>
    <w:rsid w:val="00EE3A64"/>
    <w:rsid w:val="00F33284"/>
    <w:rsid w:val="00F4401A"/>
    <w:rsid w:val="00F711A8"/>
    <w:rsid w:val="00F9638C"/>
    <w:rsid w:val="00FA0A7F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paragraph" w:styleId="ListParagraph">
    <w:name w:val="List Paragraph"/>
    <w:basedOn w:val="Normal"/>
    <w:uiPriority w:val="34"/>
    <w:qFormat/>
    <w:rsid w:val="003F0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6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2061</Words>
  <Characters>11751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50</cp:revision>
  <cp:lastPrinted>2022-07-11T13:39:00Z</cp:lastPrinted>
  <dcterms:created xsi:type="dcterms:W3CDTF">2022-01-17T07:51:00Z</dcterms:created>
  <dcterms:modified xsi:type="dcterms:W3CDTF">2022-11-24T13:51:00Z</dcterms:modified>
</cp:coreProperties>
</file>